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45EDD273" w14:textId="0A4E51BC" w:rsidR="00460A21" w:rsidRPr="00145EE8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 …………………………</w:t>
      </w:r>
      <w:r w:rsidR="009F2DEE">
        <w:rPr>
          <w:rFonts w:ascii="Verdana" w:hAnsi="Verdana"/>
          <w:b/>
          <w:smallCaps/>
          <w:sz w:val="32"/>
          <w:szCs w:val="32"/>
        </w:rPr>
        <w:t>…………………………………………………………………………………………….……………………………………………………………………..</w:t>
      </w:r>
      <w:r w:rsidRPr="00145EE8">
        <w:rPr>
          <w:rFonts w:ascii="Verdana" w:hAnsi="Verdana"/>
          <w:b/>
          <w:smallCaps/>
          <w:sz w:val="32"/>
          <w:szCs w:val="32"/>
        </w:rPr>
        <w:t>……………………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3087F23D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>W celu realizacji obowiązku ustanowionego na mocy ustawy o przeciwdziałaniu zagrożeniom przestępczością na tle seksualnym i ochronie małoletnich (Dz. U. z 2024 r. poz. 560 ze zm.) ……………</w:t>
      </w:r>
      <w:r w:rsidR="009F2DEE">
        <w:rPr>
          <w:rFonts w:ascii="Verdana" w:eastAsia="Lato" w:hAnsi="Verdana" w:cs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……………………………………………………. 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(*pełna nazwa podmiotu)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2F46F337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Pr="00145EE8">
        <w:rPr>
          <w:rFonts w:ascii="Verdana" w:eastAsia="Lato" w:hAnsi="Verdana" w:cs="Lato"/>
          <w:sz w:val="20"/>
          <w:szCs w:val="20"/>
        </w:rPr>
        <w:t>- ………</w:t>
      </w:r>
      <w:r w:rsidR="009F2DEE">
        <w:rPr>
          <w:rFonts w:ascii="Verdana" w:eastAsia="Lato" w:hAnsi="Verdana" w:cs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</w:t>
      </w:r>
      <w:r w:rsidRPr="00145EE8">
        <w:rPr>
          <w:rFonts w:ascii="Verdana" w:eastAsia="Lato" w:hAnsi="Verdana" w:cs="Lato"/>
          <w:sz w:val="20"/>
          <w:szCs w:val="20"/>
        </w:rPr>
        <w:t xml:space="preserve">…………………………………………………………. </w:t>
      </w:r>
      <w:r w:rsidRPr="00145EE8">
        <w:rPr>
          <w:rFonts w:ascii="Verdana" w:eastAsia="Lato" w:hAnsi="Verdana" w:cs="Lato"/>
          <w:i/>
          <w:iCs/>
          <w:sz w:val="20"/>
          <w:szCs w:val="20"/>
        </w:rPr>
        <w:t>(*pełna nazwa podmiotu)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</w:t>
      </w:r>
      <w:r w:rsidRPr="00145EE8">
        <w:rPr>
          <w:rFonts w:ascii="Verdana" w:eastAsia="Segoe UI" w:hAnsi="Verdana" w:cs="Segoe UI"/>
          <w:sz w:val="20"/>
          <w:szCs w:val="20"/>
        </w:rPr>
        <w:lastRenderedPageBreak/>
        <w:t xml:space="preserve">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</w:t>
      </w:r>
      <w:r w:rsidR="0038299F" w:rsidRPr="00145EE8">
        <w:rPr>
          <w:rFonts w:ascii="Verdana" w:hAnsi="Verdana"/>
          <w:color w:val="auto"/>
          <w:sz w:val="20"/>
          <w:szCs w:val="20"/>
        </w:rPr>
        <w:lastRenderedPageBreak/>
        <w:t>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5BF4FB8D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9F2DEE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…………………………………..…….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…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6A7D871B" w:rsidR="008A1AF0" w:rsidRPr="008A1AF0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>na stronie internetowej Ośrodka Szkolenia Kierowców ……………………</w:t>
      </w:r>
      <w:r w:rsidR="009F2DEE">
        <w:rPr>
          <w:rStyle w:val="Brak"/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Brak"/>
          <w:rFonts w:ascii="Verdana" w:hAnsi="Verdana"/>
          <w:sz w:val="20"/>
          <w:szCs w:val="20"/>
        </w:rPr>
        <w:t>……………… .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  <w:shd w:val="clear" w:color="auto" w:fill="auto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  <w:shd w:val="clear" w:color="auto" w:fill="auto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  <w:shd w:val="clear" w:color="auto" w:fill="auto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  <w:shd w:val="clear" w:color="auto" w:fill="auto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  <w:shd w:val="clear" w:color="auto" w:fill="auto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  <w:shd w:val="clear" w:color="auto" w:fill="auto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  <w:shd w:val="clear" w:color="auto" w:fill="auto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  <w:shd w:val="clear" w:color="auto" w:fill="auto"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  <w:shd w:val="clear" w:color="auto" w:fill="auto"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  <w:shd w:val="clear" w:color="auto" w:fill="auto"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  <w:shd w:val="clear" w:color="auto" w:fill="auto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  <w:shd w:val="clear" w:color="auto" w:fill="auto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  <w:shd w:val="clear" w:color="auto" w:fill="auto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  <w:shd w:val="clear" w:color="auto" w:fill="auto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  <w:shd w:val="clear" w:color="auto" w:fill="auto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  <w:shd w:val="clear" w:color="auto" w:fill="auto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  <w:shd w:val="clear" w:color="auto" w:fill="auto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  <w:shd w:val="clear" w:color="auto" w:fill="auto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  <w:shd w:val="clear" w:color="auto" w:fill="auto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  <w:shd w:val="clear" w:color="auto" w:fill="auto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  <w:shd w:val="clear" w:color="auto" w:fill="auto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  <w:shd w:val="clear" w:color="auto" w:fill="auto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  <w:shd w:val="clear" w:color="auto" w:fill="auto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7432C13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ACA5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5152E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2A471F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ABC9AB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16482C8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3FB9827" w14:textId="67CF0788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608F000" w14:textId="0C60C7BF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3FD75B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357AFA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7828" w14:textId="77777777" w:rsidR="004A1D02" w:rsidRDefault="004A1D02" w:rsidP="007F5C73">
      <w:pPr>
        <w:spacing w:after="0" w:line="240" w:lineRule="auto"/>
      </w:pPr>
      <w:r>
        <w:separator/>
      </w:r>
    </w:p>
  </w:endnote>
  <w:endnote w:type="continuationSeparator" w:id="0">
    <w:p w14:paraId="46B35CC3" w14:textId="77777777" w:rsidR="004A1D02" w:rsidRDefault="004A1D02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E397B" w14:textId="77777777" w:rsidR="004A1D02" w:rsidRDefault="004A1D02" w:rsidP="007F5C73">
      <w:pPr>
        <w:spacing w:after="0" w:line="240" w:lineRule="auto"/>
      </w:pPr>
      <w:r>
        <w:separator/>
      </w:r>
    </w:p>
  </w:footnote>
  <w:footnote w:type="continuationSeparator" w:id="0">
    <w:p w14:paraId="19004FB4" w14:textId="77777777" w:rsidR="004A1D02" w:rsidRDefault="004A1D02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423446D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D77EAAA8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7A6D8C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04B556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32BA04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1A42BC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6EE818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9E2B58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607512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9E0E18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D77EAAA8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7A6D8C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04B556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432BA04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C1A42B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6EE818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9E2B58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607512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79E0E18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0FB6204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26E44B0C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D2C1A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21</Pages>
  <Words>5098</Words>
  <Characters>30594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PC</cp:lastModifiedBy>
  <cp:revision>20</cp:revision>
  <dcterms:created xsi:type="dcterms:W3CDTF">2024-09-15T11:59:00Z</dcterms:created>
  <dcterms:modified xsi:type="dcterms:W3CDTF">2024-09-23T15:26:00Z</dcterms:modified>
</cp:coreProperties>
</file>